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7C" w:rsidRDefault="00FA387C" w:rsidP="00FA387C">
      <w:pPr>
        <w:pStyle w:val="NormaleWeb"/>
        <w:jc w:val="center"/>
        <w:rPr>
          <w:rFonts w:ascii="Tahoma" w:hAnsi="Tahoma" w:cs="Tahoma"/>
          <w:b/>
          <w:bCs/>
        </w:rPr>
      </w:pPr>
      <w:bookmarkStart w:id="0" w:name="inizio"/>
      <w:r>
        <w:rPr>
          <w:rFonts w:ascii="Tahoma" w:hAnsi="Tahoma" w:cs="Tahoma"/>
          <w:b/>
          <w:bCs/>
        </w:rPr>
        <w:t xml:space="preserve">Legge 12 novembre 2011, n. 183 </w:t>
      </w:r>
      <w:bookmarkEnd w:id="0"/>
      <w:r>
        <w:rPr>
          <w:rFonts w:ascii="Tahoma" w:hAnsi="Tahoma" w:cs="Tahoma"/>
          <w:b/>
          <w:bCs/>
        </w:rPr>
        <w:br/>
        <w:t>Disposizioni per la formazione del bilancio annuale e pluriennale dello Stato</w:t>
      </w:r>
      <w:r>
        <w:rPr>
          <w:rFonts w:ascii="Tahoma" w:hAnsi="Tahoma" w:cs="Tahoma"/>
          <w:b/>
          <w:bCs/>
        </w:rPr>
        <w:br/>
        <w:t>(Legge di stabilità 2012)</w:t>
      </w:r>
    </w:p>
    <w:p w:rsidR="00FA387C" w:rsidRDefault="00FA387C" w:rsidP="00FA387C">
      <w:pPr>
        <w:pStyle w:val="NormaleWeb"/>
        <w:jc w:val="center"/>
        <w:rPr>
          <w:rFonts w:ascii="Tahoma" w:hAnsi="Tahoma" w:cs="Tahoma"/>
          <w:b/>
          <w:bCs/>
          <w:sz w:val="20"/>
          <w:szCs w:val="20"/>
        </w:rPr>
      </w:pPr>
      <w:r>
        <w:rPr>
          <w:rFonts w:ascii="Tahoma" w:hAnsi="Tahoma" w:cs="Tahoma"/>
          <w:color w:val="058940"/>
          <w:sz w:val="20"/>
          <w:szCs w:val="20"/>
        </w:rPr>
        <w:t>(G.U. n. 265 del 14 novembre 2011 )</w:t>
      </w:r>
    </w:p>
    <w:p w:rsidR="00FA387C" w:rsidRDefault="00FA387C" w:rsidP="00FA387C">
      <w:pPr>
        <w:pStyle w:val="NormaleWeb"/>
        <w:jc w:val="both"/>
        <w:rPr>
          <w:rFonts w:ascii="Tahoma" w:hAnsi="Tahoma" w:cs="Tahoma"/>
          <w:b/>
          <w:bCs/>
          <w:sz w:val="20"/>
          <w:szCs w:val="20"/>
        </w:rPr>
      </w:pPr>
    </w:p>
    <w:p w:rsidR="00FA387C" w:rsidRDefault="00FA387C" w:rsidP="00FA387C">
      <w:pPr>
        <w:pStyle w:val="NormaleWeb"/>
        <w:jc w:val="both"/>
        <w:rPr>
          <w:rFonts w:ascii="Tahoma" w:hAnsi="Tahoma" w:cs="Tahoma"/>
          <w:b/>
          <w:bCs/>
          <w:sz w:val="20"/>
          <w:szCs w:val="20"/>
        </w:rPr>
      </w:pPr>
      <w:r>
        <w:rPr>
          <w:rFonts w:ascii="Tahoma" w:hAnsi="Tahoma" w:cs="Tahoma"/>
          <w:b/>
          <w:bCs/>
          <w:sz w:val="20"/>
          <w:szCs w:val="20"/>
        </w:rPr>
        <w:t>……</w:t>
      </w:r>
    </w:p>
    <w:p w:rsidR="00FA387C" w:rsidRDefault="00FA387C" w:rsidP="00FA387C">
      <w:pPr>
        <w:pStyle w:val="NormaleWeb"/>
        <w:jc w:val="both"/>
        <w:rPr>
          <w:rFonts w:ascii="Tahoma" w:hAnsi="Tahoma" w:cs="Tahoma"/>
          <w:b/>
          <w:bCs/>
          <w:sz w:val="20"/>
          <w:szCs w:val="20"/>
        </w:rPr>
      </w:pPr>
    </w:p>
    <w:p w:rsidR="00FA387C" w:rsidRPr="00FA387C" w:rsidRDefault="00FA387C" w:rsidP="00FA387C">
      <w:pPr>
        <w:pStyle w:val="NormaleWeb"/>
        <w:jc w:val="both"/>
        <w:rPr>
          <w:rFonts w:asciiTheme="minorHAnsi" w:hAnsiTheme="minorHAnsi" w:cs="Tahoma"/>
          <w:sz w:val="22"/>
          <w:szCs w:val="22"/>
        </w:rPr>
      </w:pPr>
      <w:r w:rsidRPr="00FA387C">
        <w:rPr>
          <w:rFonts w:asciiTheme="minorHAnsi" w:hAnsiTheme="minorHAnsi" w:cs="Tahoma"/>
          <w:b/>
          <w:bCs/>
          <w:sz w:val="22"/>
          <w:szCs w:val="22"/>
        </w:rPr>
        <w:t xml:space="preserve">Art. </w:t>
      </w:r>
      <w:bookmarkStart w:id="1" w:name="10"/>
      <w:r w:rsidRPr="00FA387C">
        <w:rPr>
          <w:rFonts w:asciiTheme="minorHAnsi" w:hAnsiTheme="minorHAnsi" w:cs="Tahoma"/>
          <w:b/>
          <w:bCs/>
          <w:sz w:val="22"/>
          <w:szCs w:val="22"/>
        </w:rPr>
        <w:t>10</w:t>
      </w:r>
      <w:bookmarkEnd w:id="1"/>
      <w:r w:rsidRPr="00FA387C">
        <w:rPr>
          <w:rFonts w:asciiTheme="minorHAnsi" w:hAnsiTheme="minorHAnsi" w:cs="Tahoma"/>
          <w:b/>
          <w:bCs/>
          <w:sz w:val="22"/>
          <w:szCs w:val="22"/>
        </w:rPr>
        <w:t>. Riforma degli ordini professionali e società tra professionisti</w:t>
      </w:r>
    </w:p>
    <w:p w:rsidR="00FA387C" w:rsidRPr="00FA387C" w:rsidRDefault="00FA387C" w:rsidP="00FA387C">
      <w:pPr>
        <w:pStyle w:val="NormaleWeb"/>
        <w:jc w:val="both"/>
        <w:rPr>
          <w:rFonts w:asciiTheme="minorHAnsi" w:hAnsiTheme="minorHAnsi" w:cs="Tahoma"/>
          <w:sz w:val="22"/>
          <w:szCs w:val="22"/>
        </w:rPr>
      </w:pPr>
      <w:r w:rsidRPr="00FA387C">
        <w:rPr>
          <w:rFonts w:asciiTheme="minorHAnsi" w:hAnsiTheme="minorHAnsi" w:cs="Tahoma"/>
          <w:sz w:val="22"/>
          <w:szCs w:val="22"/>
        </w:rPr>
        <w:t>1. All'</w:t>
      </w:r>
      <w:hyperlink r:id="rId5" w:anchor="03" w:history="1">
        <w:r w:rsidRPr="00FA387C">
          <w:rPr>
            <w:rStyle w:val="Collegamentoipertestuale"/>
            <w:rFonts w:asciiTheme="minorHAnsi" w:hAnsiTheme="minorHAnsi" w:cs="Tahoma"/>
            <w:color w:val="auto"/>
            <w:sz w:val="22"/>
            <w:szCs w:val="22"/>
            <w:u w:val="none"/>
          </w:rPr>
          <w:t>articolo 3, comma 5, alinea, del decreto-legge 13 agosto 2011, n. 138, convertito, con modificazioni, dalla legge 14 settembre 2011, n. 148</w:t>
        </w:r>
      </w:hyperlink>
      <w:r w:rsidRPr="00FA387C">
        <w:rPr>
          <w:rFonts w:asciiTheme="minorHAnsi" w:hAnsiTheme="minorHAnsi" w:cs="Tahoma"/>
          <w:sz w:val="22"/>
          <w:szCs w:val="22"/>
        </w:rPr>
        <w:t xml:space="preserve">, le parole: </w:t>
      </w:r>
      <w:r w:rsidRPr="00FA387C">
        <w:rPr>
          <w:rFonts w:asciiTheme="minorHAnsi" w:hAnsiTheme="minorHAnsi" w:cs="Tahoma"/>
          <w:i/>
          <w:iCs/>
          <w:sz w:val="22"/>
          <w:szCs w:val="22"/>
        </w:rPr>
        <w:t>«Gli ordinamenti professionali dovranno essere riformati entro 12 mesi dalla data di entrata in vigore del presente decreto per recepire i seguenti principi:</w:t>
      </w:r>
      <w:r w:rsidRPr="00FA387C">
        <w:rPr>
          <w:rFonts w:asciiTheme="minorHAnsi" w:hAnsiTheme="minorHAnsi" w:cs="Tahoma"/>
          <w:sz w:val="22"/>
          <w:szCs w:val="22"/>
        </w:rPr>
        <w:t xml:space="preserve">» sono sostituite dalle seguenti: </w:t>
      </w:r>
      <w:r w:rsidRPr="00FA387C">
        <w:rPr>
          <w:rFonts w:asciiTheme="minorHAnsi" w:hAnsiTheme="minorHAnsi" w:cs="Tahoma"/>
          <w:i/>
          <w:iCs/>
          <w:sz w:val="22"/>
          <w:szCs w:val="22"/>
        </w:rPr>
        <w:t>«Con decreto del Presidente della Repubblica emanato ai sensi dell'articolo 17, comma 2, della legge 23 agosto 1988, n. 400, gli ordinamenti professionali dovranno essere riformati entro 12 mesi dalla data di entrata in vigore del presente decreto per recepire i seguenti principi:»</w:t>
      </w:r>
      <w:r w:rsidRPr="00FA387C">
        <w:rPr>
          <w:rFonts w:asciiTheme="minorHAnsi" w:hAnsiTheme="minorHAnsi" w:cs="Tahoma"/>
          <w:sz w:val="22"/>
          <w:szCs w:val="22"/>
        </w:rPr>
        <w:t xml:space="preserve">. </w:t>
      </w:r>
    </w:p>
    <w:p w:rsidR="00FA387C" w:rsidRPr="00FA387C" w:rsidRDefault="00FA387C" w:rsidP="00FA387C">
      <w:pPr>
        <w:pStyle w:val="NormaleWeb"/>
        <w:jc w:val="both"/>
        <w:rPr>
          <w:rFonts w:asciiTheme="minorHAnsi" w:hAnsiTheme="minorHAnsi" w:cs="Tahoma"/>
          <w:i/>
          <w:iCs/>
          <w:sz w:val="22"/>
          <w:szCs w:val="22"/>
        </w:rPr>
      </w:pPr>
      <w:r w:rsidRPr="00FA387C">
        <w:rPr>
          <w:rFonts w:asciiTheme="minorHAnsi" w:hAnsiTheme="minorHAnsi" w:cs="Tahoma"/>
          <w:sz w:val="22"/>
          <w:szCs w:val="22"/>
        </w:rPr>
        <w:t>2. All'</w:t>
      </w:r>
      <w:hyperlink r:id="rId6" w:anchor="03" w:history="1">
        <w:r w:rsidRPr="00FA387C">
          <w:rPr>
            <w:rStyle w:val="Collegamentoipertestuale"/>
            <w:rFonts w:asciiTheme="minorHAnsi" w:hAnsiTheme="minorHAnsi" w:cs="Tahoma"/>
            <w:color w:val="auto"/>
            <w:sz w:val="22"/>
            <w:szCs w:val="22"/>
            <w:u w:val="none"/>
          </w:rPr>
          <w:t>articolo 3 del decreto-legge 13 agosto 2011, n. 138, convertito, con modificazioni, dalla legge 14 settembre 2011, n. 148</w:t>
        </w:r>
      </w:hyperlink>
      <w:r w:rsidRPr="00FA387C">
        <w:rPr>
          <w:rFonts w:asciiTheme="minorHAnsi" w:hAnsiTheme="minorHAnsi" w:cs="Tahoma"/>
          <w:sz w:val="22"/>
          <w:szCs w:val="22"/>
        </w:rPr>
        <w:t>, dopo il comma 5 sono inseriti i seguenti:</w:t>
      </w:r>
      <w:r w:rsidRPr="00FA387C">
        <w:rPr>
          <w:rFonts w:asciiTheme="minorHAnsi" w:hAnsiTheme="minorHAnsi" w:cs="Tahoma"/>
          <w:sz w:val="22"/>
          <w:szCs w:val="22"/>
        </w:rPr>
        <w:br/>
      </w:r>
      <w:r w:rsidRPr="00FA387C">
        <w:rPr>
          <w:rFonts w:asciiTheme="minorHAnsi" w:hAnsiTheme="minorHAnsi" w:cs="Tahoma"/>
          <w:i/>
          <w:iCs/>
          <w:sz w:val="22"/>
          <w:szCs w:val="22"/>
        </w:rPr>
        <w:t>«5-bis. Le norme vigenti sugli ordinamenti professionali in contrasto con i princìpi di cui al comma 5, lettere da a) a g), sono abrogate con effetto dalla data di entrata in vigore del regolamento governativo di cui al comma 5 e, in ogni caso, dalla data del 13 agosto 2012."</w:t>
      </w:r>
      <w:r w:rsidRPr="00FA387C">
        <w:rPr>
          <w:rFonts w:asciiTheme="minorHAnsi" w:hAnsiTheme="minorHAnsi" w:cs="Tahoma"/>
          <w:i/>
          <w:iCs/>
          <w:sz w:val="22"/>
          <w:szCs w:val="22"/>
        </w:rPr>
        <w:br/>
        <w:t>5-ter. Il Governo, entro il 31 dicembre 2012, provvede a raccogliere le disposizioni aventi forza di legge che non risultano abrogate per effetto del comma 5-bis in un testo unico da emanare ai sensi dell’articolo 17-bis della legge 23 agosto 1988, n. 400»</w:t>
      </w:r>
    </w:p>
    <w:p w:rsidR="00FA387C" w:rsidRPr="00FA387C" w:rsidRDefault="00FA387C" w:rsidP="00FA387C">
      <w:pPr>
        <w:pStyle w:val="NormaleWeb"/>
        <w:jc w:val="both"/>
        <w:rPr>
          <w:rFonts w:asciiTheme="minorHAnsi" w:hAnsiTheme="minorHAnsi" w:cs="Tahoma"/>
          <w:sz w:val="22"/>
          <w:szCs w:val="22"/>
        </w:rPr>
      </w:pPr>
      <w:r w:rsidRPr="00FA387C">
        <w:rPr>
          <w:rFonts w:asciiTheme="minorHAnsi" w:hAnsiTheme="minorHAnsi" w:cs="Tahoma"/>
          <w:i/>
          <w:iCs/>
          <w:color w:val="FF0000"/>
          <w:sz w:val="22"/>
          <w:szCs w:val="22"/>
        </w:rPr>
        <w:t>(comma così modificato dall'art. 33, comma 1, legge n. 214 del 2011)</w:t>
      </w:r>
    </w:p>
    <w:p w:rsidR="00FA387C" w:rsidRPr="00FA387C" w:rsidRDefault="00FA387C" w:rsidP="00FA387C">
      <w:pPr>
        <w:pStyle w:val="NormaleWeb"/>
        <w:jc w:val="both"/>
        <w:rPr>
          <w:rFonts w:asciiTheme="minorHAnsi" w:hAnsiTheme="minorHAnsi" w:cs="Tahoma"/>
          <w:sz w:val="22"/>
          <w:szCs w:val="22"/>
        </w:rPr>
      </w:pPr>
      <w:r w:rsidRPr="00FA387C">
        <w:rPr>
          <w:rFonts w:asciiTheme="minorHAnsi" w:hAnsiTheme="minorHAnsi" w:cs="Tahoma"/>
          <w:sz w:val="22"/>
          <w:szCs w:val="22"/>
        </w:rPr>
        <w:t xml:space="preserve">3. E' consentita la costituzione di società per l'esercizio di attività professionali regolamentate nel sistema </w:t>
      </w:r>
      <w:proofErr w:type="spellStart"/>
      <w:r w:rsidRPr="00FA387C">
        <w:rPr>
          <w:rFonts w:asciiTheme="minorHAnsi" w:hAnsiTheme="minorHAnsi" w:cs="Tahoma"/>
          <w:sz w:val="22"/>
          <w:szCs w:val="22"/>
        </w:rPr>
        <w:t>ordinistico</w:t>
      </w:r>
      <w:proofErr w:type="spellEnd"/>
      <w:r w:rsidRPr="00FA387C">
        <w:rPr>
          <w:rFonts w:asciiTheme="minorHAnsi" w:hAnsiTheme="minorHAnsi" w:cs="Tahoma"/>
          <w:sz w:val="22"/>
          <w:szCs w:val="22"/>
        </w:rPr>
        <w:t xml:space="preserve"> secondo i modelli societari regolati dai titoli V e VI del libro V del codice civile. Le società cooperative di professionisti sono costituite da un numero di soci non inferiore a tre.</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i/>
          <w:iCs/>
          <w:color w:val="FF0000"/>
          <w:sz w:val="22"/>
          <w:szCs w:val="22"/>
        </w:rPr>
        <w:t>(comma così modificato dall'art. 9-bis, comma 1, legge n. 27 del 2012)</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 xml:space="preserve">4. Possono assumere la qualifica di società tra professionisti le società il cui atto costitutivo preveda: </w:t>
      </w:r>
    </w:p>
    <w:p w:rsidR="00FA387C" w:rsidRPr="00FA387C" w:rsidRDefault="00FA387C" w:rsidP="00FA387C">
      <w:pPr>
        <w:pStyle w:val="NormaleWeb"/>
        <w:spacing w:before="0" w:beforeAutospacing="0" w:after="0" w:afterAutospacing="0"/>
        <w:jc w:val="both"/>
        <w:rPr>
          <w:rFonts w:asciiTheme="minorHAnsi" w:hAnsiTheme="minorHAnsi"/>
          <w:sz w:val="22"/>
          <w:szCs w:val="22"/>
        </w:rPr>
      </w:pPr>
      <w:r w:rsidRPr="00FA387C">
        <w:rPr>
          <w:rFonts w:asciiTheme="minorHAnsi" w:hAnsiTheme="minorHAnsi" w:cs="Tahoma"/>
          <w:sz w:val="22"/>
          <w:szCs w:val="22"/>
        </w:rPr>
        <w:t xml:space="preserve">a) l'esercizio in via esclusiva dell'attività professionale da parte dei soci; </w:t>
      </w:r>
    </w:p>
    <w:p w:rsidR="00FA387C" w:rsidRPr="00FA387C" w:rsidRDefault="00FA387C" w:rsidP="00FA387C">
      <w:pPr>
        <w:pStyle w:val="NormaleWeb"/>
        <w:spacing w:before="0" w:beforeAutospacing="0" w:after="0" w:afterAutospacing="0"/>
        <w:jc w:val="both"/>
        <w:rPr>
          <w:rFonts w:asciiTheme="minorHAnsi" w:hAnsiTheme="minorHAnsi"/>
          <w:sz w:val="22"/>
          <w:szCs w:val="22"/>
        </w:rPr>
      </w:pPr>
      <w:r w:rsidRPr="00FA387C">
        <w:rPr>
          <w:rFonts w:asciiTheme="minorHAnsi" w:hAnsiTheme="minorHAnsi" w:cs="Tahoma"/>
          <w:sz w:val="22"/>
          <w:szCs w:val="22"/>
        </w:rPr>
        <w:t>b) l'ammissione in qualità di soci dei soli professionisti iscritti ad ordini, albi e collegi, anche in differenti sezioni, nonché dei cittadini degli Stati membri dell'Unione europea, purché in possesso del titolo di studio abilitante, ovvero soggetti non professionisti soltanto per prestazioni tecniche, o per finalità di investimento. In ogni caso il numero dei soci professionisti e la partecipazione al capitale sociale dei professionisti deve essere tale da determinare la maggioranza di due terzi nelle deliberazioni o decisioni dei soci; il venir meno di tale condizione costituisce causa di scioglimento della società e il consiglio dell’ordine o collegio professionale presso il quale è iscritta la società procede alla cancellazione della stessa dall’albo, salvo che la società non abbia provveduto a ristabilire la prevalenza dei soci professionisti nel termine perentorio di sei mesi;</w:t>
      </w:r>
      <w:r w:rsidRPr="00FA387C">
        <w:rPr>
          <w:rFonts w:asciiTheme="minorHAnsi" w:hAnsiTheme="minorHAnsi" w:cs="Tahoma"/>
          <w:i/>
          <w:iCs/>
          <w:sz w:val="22"/>
          <w:szCs w:val="22"/>
        </w:rPr>
        <w:br/>
      </w:r>
      <w:r w:rsidRPr="00FA387C">
        <w:rPr>
          <w:rFonts w:asciiTheme="minorHAnsi" w:hAnsiTheme="minorHAnsi" w:cs="Tahoma"/>
          <w:i/>
          <w:iCs/>
          <w:color w:val="FF0000"/>
          <w:sz w:val="22"/>
          <w:szCs w:val="22"/>
        </w:rPr>
        <w:t>(lettera così modificata dall'art. 9-bis, comma 1, legge n. 27 del 2012)</w:t>
      </w:r>
    </w:p>
    <w:p w:rsidR="00FA387C" w:rsidRPr="00FA387C" w:rsidRDefault="00FA387C" w:rsidP="00FA387C">
      <w:pPr>
        <w:pStyle w:val="NormaleWeb"/>
        <w:spacing w:before="0" w:beforeAutospacing="0" w:after="0" w:afterAutospacing="0"/>
        <w:jc w:val="both"/>
        <w:rPr>
          <w:rFonts w:asciiTheme="minorHAnsi" w:hAnsiTheme="minorHAnsi" w:cs="Tahoma"/>
          <w:sz w:val="22"/>
          <w:szCs w:val="22"/>
        </w:rPr>
      </w:pPr>
      <w:r w:rsidRPr="00FA387C">
        <w:rPr>
          <w:rFonts w:asciiTheme="minorHAnsi" w:hAnsiTheme="minorHAnsi" w:cs="Tahoma"/>
          <w:sz w:val="22"/>
          <w:szCs w:val="22"/>
        </w:rPr>
        <w:lastRenderedPageBreak/>
        <w:t xml:space="preserve">c) criteri e modalità affinché l'esecuzione dell'incarico professionale conferito alla società sia eseguito solo dai soci in possesso dei requisiti per l'esercizio della prestazione professionale richiesta; la designazione del socio professionista sia compiuta dall'utente e, in mancanza di tale designazione, il nominativo debba essere previamente comunicato per iscritto all'utente; </w:t>
      </w:r>
    </w:p>
    <w:p w:rsidR="00FA387C" w:rsidRPr="00FA387C" w:rsidRDefault="00FA387C" w:rsidP="00FA387C">
      <w:pPr>
        <w:pStyle w:val="NormaleWeb"/>
        <w:spacing w:before="0" w:beforeAutospacing="0" w:after="0" w:afterAutospacing="0"/>
        <w:jc w:val="both"/>
        <w:rPr>
          <w:rFonts w:asciiTheme="minorHAnsi" w:hAnsiTheme="minorHAnsi" w:cs="Tahoma"/>
          <w:sz w:val="22"/>
          <w:szCs w:val="22"/>
        </w:rPr>
      </w:pPr>
      <w:r w:rsidRPr="00FA387C">
        <w:rPr>
          <w:rFonts w:asciiTheme="minorHAnsi" w:hAnsiTheme="minorHAnsi" w:cs="Tahoma"/>
          <w:sz w:val="22"/>
          <w:szCs w:val="22"/>
        </w:rPr>
        <w:t>c-bis) la stipula di polizza di assicurazione per la copertura dei rischi derivanti dalla responsabilità civile per i danni causati ai clienti dai singoli soci professionisti nell’esercizio dell’attività professionale;</w:t>
      </w:r>
    </w:p>
    <w:p w:rsidR="00FA387C" w:rsidRPr="00FA387C" w:rsidRDefault="00FA387C" w:rsidP="00FA387C">
      <w:pPr>
        <w:pStyle w:val="NormaleWeb"/>
        <w:spacing w:before="0" w:beforeAutospacing="0" w:after="0" w:afterAutospacing="0"/>
        <w:jc w:val="both"/>
        <w:rPr>
          <w:rFonts w:asciiTheme="minorHAnsi" w:hAnsiTheme="minorHAnsi"/>
          <w:sz w:val="22"/>
          <w:szCs w:val="22"/>
        </w:rPr>
      </w:pPr>
      <w:r w:rsidRPr="00FA387C">
        <w:rPr>
          <w:rFonts w:asciiTheme="minorHAnsi" w:hAnsiTheme="minorHAnsi" w:cs="Tahoma"/>
          <w:i/>
          <w:iCs/>
          <w:color w:val="FF0000"/>
          <w:sz w:val="22"/>
          <w:szCs w:val="22"/>
        </w:rPr>
        <w:t>(lettera introdotta dall'art. 9-bis, comma 1, legge n. 27 del 2012)</w:t>
      </w:r>
    </w:p>
    <w:p w:rsidR="00FA387C" w:rsidRPr="00FA387C" w:rsidRDefault="00FA387C" w:rsidP="00FA387C">
      <w:pPr>
        <w:pStyle w:val="NormaleWeb"/>
        <w:spacing w:before="0" w:beforeAutospacing="0" w:after="0" w:afterAutospacing="0"/>
        <w:jc w:val="both"/>
        <w:rPr>
          <w:rFonts w:asciiTheme="minorHAnsi" w:hAnsiTheme="minorHAnsi"/>
          <w:sz w:val="22"/>
          <w:szCs w:val="22"/>
        </w:rPr>
      </w:pPr>
      <w:r w:rsidRPr="00FA387C">
        <w:rPr>
          <w:rFonts w:asciiTheme="minorHAnsi" w:hAnsiTheme="minorHAnsi" w:cs="Tahoma"/>
          <w:sz w:val="22"/>
          <w:szCs w:val="22"/>
        </w:rPr>
        <w:t xml:space="preserve">d) le modalità di esclusione dalla società del socio che sia stato cancellato dal rispettivo albo con provvedimento definitivo. </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 xml:space="preserve">5. La denominazione sociale, in qualunque modo formata, deve contenere l'indicazione di società tra professionisti. </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 xml:space="preserve">6. La partecipazione ad una società è incompatibile con la partecipazione ad altra società tra professionisti. </w:t>
      </w:r>
    </w:p>
    <w:p w:rsidR="00FA387C" w:rsidRPr="00FA387C" w:rsidRDefault="00FA387C" w:rsidP="00FA387C">
      <w:pPr>
        <w:pStyle w:val="NormaleWeb"/>
        <w:jc w:val="both"/>
        <w:rPr>
          <w:rFonts w:asciiTheme="minorHAnsi" w:hAnsiTheme="minorHAnsi" w:cs="Tahoma"/>
          <w:sz w:val="22"/>
          <w:szCs w:val="22"/>
        </w:rPr>
      </w:pPr>
      <w:r w:rsidRPr="00FA387C">
        <w:rPr>
          <w:rFonts w:asciiTheme="minorHAnsi" w:hAnsiTheme="minorHAnsi" w:cs="Tahoma"/>
          <w:sz w:val="22"/>
          <w:szCs w:val="22"/>
        </w:rPr>
        <w:t>7. I professionisti soci sono tenuti all'osservanza del codice deontologico del proprio ordine, così come la società è soggetta al regime disciplinare dell'ordine al quale risulti iscritta. Il socio professionista può opporre agli altri soci il segreto concernente le attività professionali a lui affidate.</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i/>
          <w:iCs/>
          <w:color w:val="FF0000"/>
          <w:sz w:val="22"/>
          <w:szCs w:val="22"/>
        </w:rPr>
        <w:t>(comma così modificato dall'art. 9-bis, comma 1, legge n. 27 del 2012)</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 xml:space="preserve">8. La società tra professionisti può essere costituita anche per l'esercizio di più attività professionali. </w:t>
      </w:r>
    </w:p>
    <w:p w:rsidR="00FA387C" w:rsidRPr="00FA387C" w:rsidRDefault="00FA387C" w:rsidP="00FA387C">
      <w:pPr>
        <w:pStyle w:val="NormaleWeb"/>
        <w:spacing w:after="0" w:afterAutospacing="0"/>
        <w:jc w:val="both"/>
        <w:rPr>
          <w:rFonts w:asciiTheme="minorHAnsi" w:hAnsiTheme="minorHAnsi" w:cs="Tahoma"/>
          <w:sz w:val="22"/>
          <w:szCs w:val="22"/>
        </w:rPr>
      </w:pPr>
      <w:r w:rsidRPr="00FA387C">
        <w:rPr>
          <w:rFonts w:asciiTheme="minorHAnsi" w:hAnsiTheme="minorHAnsi" w:cs="Tahoma"/>
          <w:sz w:val="22"/>
          <w:szCs w:val="22"/>
        </w:rPr>
        <w:t xml:space="preserve">9. Restano salve le associazioni professionali, nonché i diversi modelli societari già vigenti alla data di entrata in vigore della presente legge. </w:t>
      </w:r>
    </w:p>
    <w:p w:rsidR="00FA387C" w:rsidRPr="00FA387C" w:rsidRDefault="00FA387C" w:rsidP="00FA387C">
      <w:pPr>
        <w:pStyle w:val="NormaleWeb"/>
        <w:spacing w:after="0" w:afterAutospacing="0"/>
        <w:jc w:val="both"/>
        <w:rPr>
          <w:rFonts w:asciiTheme="minorHAnsi" w:hAnsiTheme="minorHAnsi" w:cs="Tahoma"/>
          <w:sz w:val="22"/>
          <w:szCs w:val="22"/>
        </w:rPr>
      </w:pPr>
      <w:r w:rsidRPr="00FA387C">
        <w:rPr>
          <w:rFonts w:asciiTheme="minorHAnsi" w:hAnsiTheme="minorHAnsi" w:cs="Tahoma"/>
          <w:i/>
          <w:iCs/>
          <w:color w:val="FF0000"/>
          <w:sz w:val="22"/>
          <w:szCs w:val="22"/>
        </w:rPr>
        <w:t>(comma così modificato dall'art. 9-bis, comma 1, legge n. 27 del 2012)</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10. Ai sensi dell'articolo 17, comma 3, della legge 23 agosto 1988, n. 400, il Ministro della giustizia, di concerto con il Ministro dello sviluppo ec</w:t>
      </w:r>
      <w:bookmarkStart w:id="2" w:name="_GoBack"/>
      <w:bookmarkEnd w:id="2"/>
      <w:r w:rsidRPr="00FA387C">
        <w:rPr>
          <w:rFonts w:asciiTheme="minorHAnsi" w:hAnsiTheme="minorHAnsi" w:cs="Tahoma"/>
          <w:sz w:val="22"/>
          <w:szCs w:val="22"/>
        </w:rPr>
        <w:t xml:space="preserve">onomico, entro sei mesi dalla data di pubblicazione della presente legge, adotta un regolamento allo scopo di disciplinare le materie di cui ai precedenti commi 4, lettera c), 6 e 7. </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 xml:space="preserve">11. La legge 23 novembre 1939, n. 1815, e successive modificazioni, è abrogata. </w:t>
      </w:r>
    </w:p>
    <w:p w:rsidR="00FA387C" w:rsidRPr="00FA387C" w:rsidRDefault="00FA387C" w:rsidP="00FA387C">
      <w:pPr>
        <w:pStyle w:val="NormaleWeb"/>
        <w:jc w:val="both"/>
        <w:rPr>
          <w:rFonts w:asciiTheme="minorHAnsi" w:hAnsiTheme="minorHAnsi"/>
          <w:sz w:val="22"/>
          <w:szCs w:val="22"/>
        </w:rPr>
      </w:pPr>
      <w:r w:rsidRPr="00FA387C">
        <w:rPr>
          <w:rFonts w:asciiTheme="minorHAnsi" w:hAnsiTheme="minorHAnsi" w:cs="Tahoma"/>
          <w:sz w:val="22"/>
          <w:szCs w:val="22"/>
        </w:rPr>
        <w:t>12. All'</w:t>
      </w:r>
      <w:hyperlink r:id="rId7" w:anchor="03" w:history="1">
        <w:r w:rsidRPr="00FA387C">
          <w:rPr>
            <w:rStyle w:val="Collegamentoipertestuale"/>
            <w:rFonts w:asciiTheme="minorHAnsi" w:hAnsiTheme="minorHAnsi" w:cs="Tahoma"/>
            <w:color w:val="auto"/>
            <w:sz w:val="22"/>
            <w:szCs w:val="22"/>
            <w:u w:val="none"/>
          </w:rPr>
          <w:t>articolo 3, comma 5, lettera d), del decreto-legge 13 agosto 2011, n. 138, convertito, con modificazioni, dalla legge 14 settembre 2011, n. 148</w:t>
        </w:r>
      </w:hyperlink>
      <w:r w:rsidRPr="00FA387C">
        <w:rPr>
          <w:rFonts w:asciiTheme="minorHAnsi" w:hAnsiTheme="minorHAnsi" w:cs="Tahoma"/>
          <w:sz w:val="22"/>
          <w:szCs w:val="22"/>
        </w:rPr>
        <w:t xml:space="preserve">, le parole: </w:t>
      </w:r>
      <w:r w:rsidRPr="00FA387C">
        <w:rPr>
          <w:rFonts w:asciiTheme="minorHAnsi" w:hAnsiTheme="minorHAnsi" w:cs="Tahoma"/>
          <w:i/>
          <w:iCs/>
          <w:sz w:val="22"/>
          <w:szCs w:val="22"/>
        </w:rPr>
        <w:t>«prendendo come riferimento le tariffe professionali. E' ammessa la pattuizione dei compensi anche in deroga alle tariffe»</w:t>
      </w:r>
      <w:r w:rsidRPr="00FA387C">
        <w:rPr>
          <w:rFonts w:asciiTheme="minorHAnsi" w:hAnsiTheme="minorHAnsi" w:cs="Tahoma"/>
          <w:sz w:val="22"/>
          <w:szCs w:val="22"/>
        </w:rPr>
        <w:t xml:space="preserve"> sono soppresse. </w:t>
      </w:r>
    </w:p>
    <w:p w:rsidR="00953527" w:rsidRDefault="00953527"/>
    <w:sectPr w:rsidR="00953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7C"/>
    <w:rsid w:val="00953527"/>
    <w:rsid w:val="00CF2FE7"/>
    <w:rsid w:val="00FA3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F2FE7"/>
    <w:pPr>
      <w:keepNext/>
      <w:framePr w:wrap="around" w:vAnchor="text" w:hAnchor="text" w:y="1"/>
      <w:pBdr>
        <w:top w:val="single" w:sz="4" w:space="1" w:color="auto"/>
        <w:left w:val="single" w:sz="4" w:space="4" w:color="auto"/>
        <w:bottom w:val="single" w:sz="4" w:space="1" w:color="auto"/>
        <w:right w:val="single" w:sz="4" w:space="4" w:color="auto"/>
      </w:pBdr>
      <w:suppressAutoHyphens/>
      <w:spacing w:before="240" w:after="60" w:line="240" w:lineRule="auto"/>
      <w:outlineLvl w:val="0"/>
    </w:pPr>
    <w:rPr>
      <w:rFonts w:ascii="Calibri" w:hAnsi="Calibri"/>
      <w:b/>
      <w:bCs/>
      <w:color w:val="FF0000"/>
      <w:kern w:val="32"/>
      <w:sz w:val="28"/>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F2FE7"/>
    <w:rPr>
      <w:rFonts w:ascii="Calibri" w:hAnsi="Calibri"/>
      <w:b/>
      <w:bCs/>
      <w:color w:val="FF0000"/>
      <w:kern w:val="32"/>
      <w:sz w:val="28"/>
      <w:szCs w:val="32"/>
      <w:lang w:eastAsia="ar-SA"/>
    </w:rPr>
  </w:style>
  <w:style w:type="paragraph" w:styleId="NormaleWeb">
    <w:name w:val="Normal (Web)"/>
    <w:basedOn w:val="Normale"/>
    <w:uiPriority w:val="99"/>
    <w:semiHidden/>
    <w:unhideWhenUsed/>
    <w:rsid w:val="00FA38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A38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F2FE7"/>
    <w:pPr>
      <w:keepNext/>
      <w:framePr w:wrap="around" w:vAnchor="text" w:hAnchor="text" w:y="1"/>
      <w:pBdr>
        <w:top w:val="single" w:sz="4" w:space="1" w:color="auto"/>
        <w:left w:val="single" w:sz="4" w:space="4" w:color="auto"/>
        <w:bottom w:val="single" w:sz="4" w:space="1" w:color="auto"/>
        <w:right w:val="single" w:sz="4" w:space="4" w:color="auto"/>
      </w:pBdr>
      <w:suppressAutoHyphens/>
      <w:spacing w:before="240" w:after="60" w:line="240" w:lineRule="auto"/>
      <w:outlineLvl w:val="0"/>
    </w:pPr>
    <w:rPr>
      <w:rFonts w:ascii="Calibri" w:hAnsi="Calibri"/>
      <w:b/>
      <w:bCs/>
      <w:color w:val="FF0000"/>
      <w:kern w:val="32"/>
      <w:sz w:val="28"/>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F2FE7"/>
    <w:rPr>
      <w:rFonts w:ascii="Calibri" w:hAnsi="Calibri"/>
      <w:b/>
      <w:bCs/>
      <w:color w:val="FF0000"/>
      <w:kern w:val="32"/>
      <w:sz w:val="28"/>
      <w:szCs w:val="32"/>
      <w:lang w:eastAsia="ar-SA"/>
    </w:rPr>
  </w:style>
  <w:style w:type="paragraph" w:styleId="NormaleWeb">
    <w:name w:val="Normal (Web)"/>
    <w:basedOn w:val="Normale"/>
    <w:uiPriority w:val="99"/>
    <w:semiHidden/>
    <w:unhideWhenUsed/>
    <w:rsid w:val="00FA38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A3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18357">
      <w:bodyDiv w:val="1"/>
      <w:marLeft w:val="0"/>
      <w:marRight w:val="0"/>
      <w:marTop w:val="0"/>
      <w:marBottom w:val="0"/>
      <w:divBdr>
        <w:top w:val="none" w:sz="0" w:space="0" w:color="auto"/>
        <w:left w:val="none" w:sz="0" w:space="0" w:color="auto"/>
        <w:bottom w:val="none" w:sz="0" w:space="0" w:color="auto"/>
        <w:right w:val="none" w:sz="0" w:space="0" w:color="auto"/>
      </w:divBdr>
      <w:divsChild>
        <w:div w:id="63264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4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settiegatti.eu/info/norme/statali/2011_0148.htm" TargetMode="External"/><Relationship Id="rId5" Type="http://schemas.openxmlformats.org/officeDocument/2006/relationships/hyperlink" Target="http://www.bosettiegatti.eu/info/norme/statali/2011_0148.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Dal Sacco</dc:creator>
  <cp:lastModifiedBy>Claudia Dal Sacco</cp:lastModifiedBy>
  <cp:revision>1</cp:revision>
  <dcterms:created xsi:type="dcterms:W3CDTF">2017-02-08T12:22:00Z</dcterms:created>
  <dcterms:modified xsi:type="dcterms:W3CDTF">2017-02-08T12:25:00Z</dcterms:modified>
</cp:coreProperties>
</file>